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仿宋_GB2312"/>
          <w:color w:val="000000"/>
        </w:rPr>
        <w:t>附件1</w:t>
      </w:r>
    </w:p>
    <w:p>
      <w:pPr>
        <w:spacing w:line="600" w:lineRule="exact"/>
        <w:jc w:val="center"/>
        <w:rPr>
          <w:rFonts w:ascii="方正小标宋简体" w:hAnsi="黑体" w:eastAsia="方正小标宋简体" w:cs="黑体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XX市（区）2022年度支持“专精特新”</w:t>
      </w:r>
    </w:p>
    <w:p>
      <w:pPr>
        <w:spacing w:line="600" w:lineRule="exact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z w:val="44"/>
          <w:szCs w:val="44"/>
        </w:rPr>
        <w:t>中小企业工作实施方案（模板）</w:t>
      </w: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黑体"/>
          <w:spacing w:val="-10"/>
        </w:rPr>
      </w:pPr>
      <w:r>
        <w:rPr>
          <w:rFonts w:eastAsia="黑体"/>
        </w:rPr>
        <w:t>一、</w:t>
      </w:r>
      <w:r>
        <w:rPr>
          <w:rFonts w:eastAsia="黑体"/>
          <w:spacing w:val="-10"/>
        </w:rPr>
        <w:t>本市（区）“专精特新”中小企业工作基础（不超过1000字）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（一）贯彻习近平总书记关于培育一批“专精特新”中小企业的重要指示精神，全面落实国务院促进中小企业发展工作领导小组办公室印发的《为“专精特新”中小企业办实事清单》精神，根据财政部 工信部《关于支持“专精特新”中小企业高质量发展的通知》（财建〔2021〕2号）和《陕西省人民政府办公厅关于印发民营经济高质量发展三年行动计划（2021—2023年）的通知》有关</w:t>
      </w:r>
      <w:r>
        <w:rPr>
          <w:rFonts w:eastAsia="仿宋_GB2312"/>
          <w:spacing w:val="-6"/>
        </w:rPr>
        <w:t>要求，促进本市（区）“专精特新”中小企业总体情况及工作成效等。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（二）本市（区）支持“专精特新”中小企业发展的政策措施。完善梯度培育体系，建立企业动态库，推动创新资源精准匹配，推进本市（区）“专精特新”中小企业创新发展的具体举措。</w:t>
      </w:r>
    </w:p>
    <w:p>
      <w:pPr>
        <w:ind w:firstLine="640" w:firstLineChars="200"/>
        <w:rPr>
          <w:rFonts w:eastAsia="黑体"/>
        </w:rPr>
      </w:pPr>
      <w:r>
        <w:rPr>
          <w:rFonts w:eastAsia="黑体"/>
        </w:rPr>
        <w:t>二、本市（区）拟支持“专精特新”中小企业情况及务实举措（不超过1500字）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一）拟支持的“专精特新”中小企业的总体情况。内容包括但不限于：支撑产业链供应链、掌握关键核心技术、关键领域“补短板”、主导产品填补国内国际空白；与重点行业龙头企业协同创新；创新优势、成长性等。</w:t>
      </w:r>
    </w:p>
    <w:p>
      <w:pPr>
        <w:ind w:firstLine="640" w:firstLineChars="200"/>
        <w:rPr>
          <w:rFonts w:eastAsia="仿宋_GB2312"/>
        </w:rPr>
      </w:pPr>
      <w:r>
        <w:rPr>
          <w:rFonts w:hint="eastAsia" w:eastAsia="仿宋_GB2312"/>
        </w:rPr>
        <w:t>（二）</w:t>
      </w:r>
      <w:r>
        <w:rPr>
          <w:rFonts w:eastAsia="仿宋_GB2312"/>
        </w:rPr>
        <w:t>拟支持“专精特新”中小企业措施。在部门协同、政策落实、环境优化和精准服务等方面，采取针对性强、内容实、可见效的措施，提升企业专业化能力和水平；聚焦制造业重点领域和行业，特别是“补短板”、“填空白”领域，促进“产学研”合作，提升企业创新能力；围绕国家和我省年度产业链关键基础技术和产品的产业化攻关，推动形成产业链上下游协同创新、供应链互通的融通创新产业生态。</w:t>
      </w:r>
    </w:p>
    <w:p>
      <w:pPr>
        <w:ind w:firstLine="640" w:firstLineChars="200"/>
        <w:rPr>
          <w:rFonts w:eastAsia="黑体"/>
        </w:rPr>
      </w:pPr>
      <w:r>
        <w:rPr>
          <w:rFonts w:eastAsia="黑体"/>
        </w:rPr>
        <w:t>三、实施期满1年的预期目标和取得成效（不超过1500字）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拟支持“专精特新”中小企业下年度预期目标。在哪些领域、哪些项目开展关键核心技术攻关、填补国内外空白、产业链“补短板”、提升国际竞争力等方面的下年度预期目标及成效（含定性和定量描述）。</w:t>
      </w:r>
    </w:p>
    <w:p>
      <w:pPr>
        <w:ind w:firstLine="640" w:firstLineChars="200"/>
        <w:rPr>
          <w:rFonts w:eastAsia="黑体"/>
        </w:rPr>
      </w:pPr>
      <w:r>
        <w:rPr>
          <w:rFonts w:eastAsia="黑体"/>
        </w:rPr>
        <w:t>四、保障措施（不超过1000字）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一）建立制度机制。制定本市（区）组织管理、分年度实施成效自评估等工作方案，包括对本实施方案的跟踪推进、激励约束、资金监管、定期检查、实地督导、监督考核等内容，确保规范、科学、高效使用奖补资金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二）资金管理使用。明确资金分配、预算执行、绩效管理等管理要求及具体工作措施；跟踪问效机制情况，包括绩效监控措施，发现问题的惩戒措施；预算公开等信息公开机制。市（区）有关资金保障措施（无配套资金硬性要求）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（三）明确任务分工。明确市（区）中小企业主管部门、财政部门的组织实施程序、职责分工，分工须明确到科（处）室，并提供任务分工方案。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同时，填报《XX市（区）拟支持“专精特新”中小企业名单汇总表》（附1），组织拟支持的“专精特新”中小企业填报《XX市（区）“专精特新”中小企业基本情况表》（附2）、《XX市（区）“专精特新”中小企业目标表》（附3），与实施方案一并报送。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>以上，将作为年度绩效考核的重要依据。</w:t>
      </w:r>
    </w:p>
    <w:p>
      <w:pPr>
        <w:ind w:firstLine="640" w:firstLineChars="200"/>
        <w:rPr>
          <w:rFonts w:eastAsia="仿宋_GB2312"/>
        </w:rPr>
      </w:pPr>
    </w:p>
    <w:p>
      <w:pPr>
        <w:ind w:firstLine="640" w:firstLineChars="200"/>
        <w:rPr>
          <w:rFonts w:eastAsia="仿宋_GB2312"/>
          <w:spacing w:val="-6"/>
        </w:rPr>
      </w:pPr>
      <w:r>
        <w:rPr>
          <w:rFonts w:eastAsia="仿宋_GB2312"/>
        </w:rPr>
        <w:t>附</w:t>
      </w:r>
      <w:r>
        <w:rPr>
          <w:rFonts w:hint="eastAsia" w:eastAsia="仿宋_GB2312"/>
        </w:rPr>
        <w:t>件</w:t>
      </w:r>
      <w:r>
        <w:rPr>
          <w:rFonts w:eastAsia="仿宋_GB2312"/>
        </w:rPr>
        <w:t>：1</w:t>
      </w:r>
      <w:r>
        <w:rPr>
          <w:rFonts w:hint="eastAsia" w:eastAsia="仿宋_GB2312"/>
        </w:rPr>
        <w:t>．</w:t>
      </w:r>
      <w:r>
        <w:rPr>
          <w:rFonts w:eastAsia="仿宋_GB2312"/>
          <w:spacing w:val="-6"/>
        </w:rPr>
        <w:t>XX市（区）拟支持“专精特新”中小企业名单汇总表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2</w:t>
      </w:r>
      <w:r>
        <w:rPr>
          <w:rFonts w:hint="eastAsia" w:eastAsia="仿宋_GB2312"/>
        </w:rPr>
        <w:t>．</w:t>
      </w:r>
      <w:r>
        <w:rPr>
          <w:rFonts w:eastAsia="仿宋_GB2312"/>
        </w:rPr>
        <w:t>XX市（区）“专精特新”中小企业基本情况表</w:t>
      </w:r>
    </w:p>
    <w:p>
      <w:pPr>
        <w:ind w:firstLine="640" w:firstLineChars="200"/>
        <w:rPr>
          <w:rFonts w:eastAsia="仿宋_GB2312"/>
        </w:rPr>
      </w:pPr>
      <w:r>
        <w:rPr>
          <w:rFonts w:eastAsia="仿宋_GB2312"/>
        </w:rPr>
        <w:t xml:space="preserve">      3</w:t>
      </w:r>
      <w:r>
        <w:rPr>
          <w:rFonts w:hint="eastAsia" w:eastAsia="仿宋_GB2312"/>
        </w:rPr>
        <w:t>．</w:t>
      </w:r>
      <w:r>
        <w:rPr>
          <w:rFonts w:eastAsia="仿宋_GB2312"/>
        </w:rPr>
        <w:t>XX市（区）“专精特新”中小企业目标表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759B6"/>
    <w:rsid w:val="0817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2022-06-08T09:12:00Z</dcterms:created>
  <dc:creator>lenovo</dc:creator>
  <cp:lastModifiedBy>lenovo</cp:lastModifiedBy>
  <dcterms:modified xsi:type="dcterms:W3CDTF">2022-06-08T09:21:55Z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